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28527" w14:textId="0C7C0E4A" w:rsidR="00176AF2" w:rsidRPr="008B1F8D" w:rsidRDefault="008F1AD5" w:rsidP="008B1F8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bookmarkStart w:id="0" w:name="_GoBack"/>
      <w:bookmarkEnd w:id="0"/>
      <w:r w:rsidRPr="008B1F8D">
        <w:rPr>
          <w:b/>
          <w:bCs/>
        </w:rPr>
        <w:t>1.</w:t>
      </w:r>
      <w:r w:rsidR="007D51F2">
        <w:rPr>
          <w:b/>
          <w:bCs/>
        </w:rPr>
        <w:t xml:space="preserve">0. </w:t>
      </w:r>
      <w:r w:rsidR="008B1F8D" w:rsidRPr="008B1F8D">
        <w:rPr>
          <w:b/>
          <w:bCs/>
        </w:rPr>
        <w:t>AMAÇ</w:t>
      </w:r>
    </w:p>
    <w:p w14:paraId="414D3710" w14:textId="0E3CEFA6" w:rsidR="00072295" w:rsidRDefault="008F1AD5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8D">
        <w:rPr>
          <w:rFonts w:ascii="Times New Roman" w:eastAsia="Times New Roman" w:hAnsi="Times New Roman" w:cs="Times New Roman"/>
          <w:sz w:val="24"/>
          <w:szCs w:val="24"/>
        </w:rPr>
        <w:t>Bu prosedürün amacı, ü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niversite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kritik varlıkların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>ı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belirlenme, önemli ve hassas varlıkları tanımlama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 xml:space="preserve"> ve varlık yönetimi sürecinin sağlıklı bir şekilde yürütülmesi için gerekli olan faaliyet</w:t>
      </w:r>
      <w:r w:rsidR="00E77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 xml:space="preserve">uygulama ve esasları belirlemektir. </w:t>
      </w:r>
    </w:p>
    <w:p w14:paraId="644BE25F" w14:textId="77777777" w:rsidR="008B1F8D" w:rsidRPr="008B1F8D" w:rsidRDefault="008B1F8D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7EA66" w14:textId="2DE0D370" w:rsidR="00176AF2" w:rsidRPr="008B1F8D" w:rsidRDefault="00384385" w:rsidP="008B1F8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8B1F8D">
        <w:rPr>
          <w:b/>
          <w:bCs/>
        </w:rPr>
        <w:t xml:space="preserve">2. </w:t>
      </w:r>
      <w:r w:rsidR="00E77171">
        <w:rPr>
          <w:b/>
          <w:bCs/>
        </w:rPr>
        <w:t xml:space="preserve">0. </w:t>
      </w:r>
      <w:r w:rsidR="008B1F8D" w:rsidRPr="008B1F8D">
        <w:rPr>
          <w:b/>
          <w:bCs/>
        </w:rPr>
        <w:t xml:space="preserve">KAPSAM </w:t>
      </w:r>
    </w:p>
    <w:p w14:paraId="18351F01" w14:textId="43CA7F39" w:rsidR="008B1F8D" w:rsidRDefault="00E77171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prosedür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, üniversite</w:t>
      </w:r>
      <w:r w:rsidR="00122EA5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faaliyetlerini etkileyen ve korunması gereken önemli varlıkları içerme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ktedir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 Bu kapsamda, finansal</w:t>
      </w:r>
      <w:r w:rsidR="00EB2D58">
        <w:rPr>
          <w:rFonts w:ascii="Times New Roman" w:eastAsia="Times New Roman" w:hAnsi="Times New Roman" w:cs="Times New Roman"/>
          <w:sz w:val="24"/>
          <w:szCs w:val="24"/>
        </w:rPr>
        <w:t>/mali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 varlıklar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, maddi varlıklar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="0076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ve maddi olmayan varlıkları (kuruluşa özgü veri, kendi geliştirdiği yazılım/teknoloji, marka</w:t>
      </w:r>
      <w:r w:rsidR="009E379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patentler)'i kapsamaktadır.  </w:t>
      </w:r>
      <w:bookmarkStart w:id="1" w:name="_1fob9te" w:colFirst="0" w:colLast="0"/>
      <w:bookmarkEnd w:id="1"/>
    </w:p>
    <w:p w14:paraId="44309625" w14:textId="77777777" w:rsidR="00AD1D15" w:rsidRPr="008B1F8D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3znysh7" w:colFirst="0" w:colLast="0"/>
      <w:bookmarkEnd w:id="2"/>
    </w:p>
    <w:p w14:paraId="16FCE5AE" w14:textId="10D2845B" w:rsidR="00AD1D15" w:rsidRPr="008B1F8D" w:rsidRDefault="008B1F8D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3.</w:t>
      </w:r>
      <w:r w:rsidR="00E77171">
        <w:rPr>
          <w:rFonts w:ascii="Times New Roman" w:hAnsi="Times New Roman" w:cs="Times New Roman"/>
          <w:b/>
          <w:sz w:val="24"/>
          <w:szCs w:val="24"/>
        </w:rPr>
        <w:t>0.</w:t>
      </w:r>
      <w:r w:rsidRPr="008B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15" w:rsidRPr="008B1F8D">
        <w:rPr>
          <w:rFonts w:ascii="Times New Roman" w:hAnsi="Times New Roman" w:cs="Times New Roman"/>
          <w:b/>
          <w:sz w:val="24"/>
          <w:szCs w:val="24"/>
        </w:rPr>
        <w:t>TANIMLAR</w:t>
      </w:r>
    </w:p>
    <w:p w14:paraId="037A047D" w14:textId="77777777" w:rsidR="00122EA5" w:rsidRDefault="00122EA5" w:rsidP="008B1F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B72D" w14:textId="4FC5ECEC" w:rsidR="00122EA5" w:rsidRPr="009E3791" w:rsidRDefault="00AD1D15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Varlık</w:t>
      </w:r>
      <w:r w:rsidRPr="008B1F8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22EA5">
        <w:rPr>
          <w:rFonts w:ascii="Times New Roman" w:hAnsi="Times New Roman" w:cs="Times New Roman"/>
          <w:sz w:val="24"/>
          <w:szCs w:val="24"/>
        </w:rPr>
        <w:t xml:space="preserve"> </w:t>
      </w:r>
      <w:r w:rsidR="00122EA5" w:rsidRPr="009E3791">
        <w:rPr>
          <w:rFonts w:ascii="Times New Roman" w:hAnsi="Times New Roman" w:cs="Times New Roman"/>
          <w:sz w:val="24"/>
          <w:szCs w:val="24"/>
        </w:rPr>
        <w:t>Üniversite için değeri olan ve bu nedenle uygun olarak korunması gereken tüm unsurlar</w:t>
      </w:r>
      <w:r w:rsidR="00B976BC">
        <w:rPr>
          <w:rFonts w:ascii="Times New Roman" w:hAnsi="Times New Roman" w:cs="Times New Roman"/>
          <w:sz w:val="24"/>
          <w:szCs w:val="24"/>
        </w:rPr>
        <w:t>,</w:t>
      </w:r>
    </w:p>
    <w:p w14:paraId="0470F06A" w14:textId="41019717" w:rsidR="00122EA5" w:rsidRPr="00B976BC" w:rsidRDefault="00176AF2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BC">
        <w:rPr>
          <w:rFonts w:ascii="Times New Roman" w:eastAsia="Times New Roman" w:hAnsi="Times New Roman" w:cs="Times New Roman"/>
          <w:b/>
          <w:bCs/>
          <w:sz w:val="24"/>
          <w:szCs w:val="24"/>
        </w:rPr>
        <w:t>Kritik Varlık: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Üniversite faaliyetlerin</w:t>
      </w:r>
      <w:r w:rsidR="00122EA5" w:rsidRPr="00B976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sürdürülmesi, misyonun</w:t>
      </w:r>
      <w:r w:rsidR="00122EA5" w:rsidRPr="00B976BC">
        <w:rPr>
          <w:rFonts w:ascii="Times New Roman" w:eastAsia="Times New Roman" w:hAnsi="Times New Roman" w:cs="Times New Roman"/>
          <w:sz w:val="24"/>
          <w:szCs w:val="24"/>
        </w:rPr>
        <w:t>u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yerine getirilmesi ve itibarın korunması için gereklilik arz eden</w:t>
      </w:r>
      <w:r w:rsidR="007672AF" w:rsidRPr="00B97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 xml:space="preserve">korunmadığı takdirde risk arz eden 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>varlıkla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r,</w:t>
      </w:r>
    </w:p>
    <w:p w14:paraId="426CA51B" w14:textId="7B08F751" w:rsidR="00122EA5" w:rsidRPr="009E3791" w:rsidRDefault="00176AF2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Varlık Envanteri: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Üniversite</w:t>
      </w:r>
      <w:r w:rsidR="00122EA5" w:rsidRPr="009E379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sahip olduğu tüm varlıkların kaydedildiği doküman. </w:t>
      </w:r>
    </w:p>
    <w:p w14:paraId="0B857B24" w14:textId="472A4EA5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Bilgi teknolojisi altyapısı: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 bilgisayar ağları, sunucular</w:t>
      </w:r>
      <w:r w:rsidR="00B976BC">
        <w:rPr>
          <w:rFonts w:ascii="Times New Roman" w:hAnsi="Times New Roman" w:cs="Times New Roman"/>
          <w:sz w:val="24"/>
          <w:szCs w:val="24"/>
        </w:rPr>
        <w:t>ı</w:t>
      </w:r>
      <w:r w:rsidRPr="00882E09">
        <w:rPr>
          <w:rFonts w:ascii="Times New Roman" w:hAnsi="Times New Roman" w:cs="Times New Roman"/>
          <w:sz w:val="24"/>
          <w:szCs w:val="24"/>
        </w:rPr>
        <w:t>, veri tabanları, yazılımlar, web siteleri, e-posta sistemleri, öğrenci ve personel veri tabanları gibi bilgi teknolojisi altyapısı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1C383" w14:textId="3EB45EEF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Veri ve bilgi: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Öğrenci kayıtları, personel bilgileri, mali veriler, araştırma verileri,</w:t>
      </w:r>
      <w:r w:rsidR="00B976BC">
        <w:rPr>
          <w:rFonts w:ascii="Times New Roman" w:hAnsi="Times New Roman" w:cs="Times New Roman"/>
          <w:sz w:val="24"/>
          <w:szCs w:val="24"/>
        </w:rPr>
        <w:t xml:space="preserve"> </w:t>
      </w:r>
      <w:r w:rsidRPr="00882E09">
        <w:rPr>
          <w:rFonts w:ascii="Times New Roman" w:hAnsi="Times New Roman" w:cs="Times New Roman"/>
          <w:sz w:val="24"/>
          <w:szCs w:val="24"/>
        </w:rPr>
        <w:t>ticari sırlar, stratejik planlar gibi hassas ve değerli veriler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7C462B3D" w14:textId="27BF0357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Fiziksel varlıklar: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Laboratuvar ekipmanları, kitaplar, kütüphane kaynakları, araştırma cihazları, sanat eserleri, müzik enstrümanları gibi fiziksel varlıklar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2AF5BB46" w14:textId="78621761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Fiziksel mekanlar: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  <w:r w:rsidR="00B976BC">
        <w:rPr>
          <w:rFonts w:ascii="Times New Roman" w:hAnsi="Times New Roman" w:cs="Times New Roman"/>
          <w:sz w:val="24"/>
          <w:szCs w:val="24"/>
        </w:rPr>
        <w:t>B</w:t>
      </w:r>
      <w:r w:rsidRPr="00882E09">
        <w:rPr>
          <w:rFonts w:ascii="Times New Roman" w:hAnsi="Times New Roman" w:cs="Times New Roman"/>
          <w:sz w:val="24"/>
          <w:szCs w:val="24"/>
        </w:rPr>
        <w:t>inalar, laboratuvarlar, sınıflar, kütüphane, veri merkezleri gibi üniversite alanları da korunması gereken kritik varlıkla</w:t>
      </w:r>
      <w:r w:rsidR="005D4876">
        <w:rPr>
          <w:rFonts w:ascii="Times New Roman" w:hAnsi="Times New Roman" w:cs="Times New Roman"/>
          <w:sz w:val="24"/>
          <w:szCs w:val="24"/>
        </w:rPr>
        <w:t>r,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E2680" w14:textId="45904163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İnsan kaynakları: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5D4876">
        <w:rPr>
          <w:rFonts w:ascii="Times New Roman" w:hAnsi="Times New Roman" w:cs="Times New Roman"/>
          <w:sz w:val="24"/>
          <w:szCs w:val="24"/>
        </w:rPr>
        <w:t xml:space="preserve">de </w:t>
      </w:r>
      <w:r w:rsidR="005D4876" w:rsidRPr="00882E09">
        <w:rPr>
          <w:rFonts w:ascii="Times New Roman" w:hAnsi="Times New Roman" w:cs="Times New Roman"/>
          <w:sz w:val="24"/>
          <w:szCs w:val="24"/>
        </w:rPr>
        <w:t>kritik rollerde olan</w:t>
      </w:r>
      <w:r w:rsidR="005D4876">
        <w:rPr>
          <w:rFonts w:ascii="Times New Roman" w:hAnsi="Times New Roman" w:cs="Times New Roman"/>
          <w:sz w:val="24"/>
          <w:szCs w:val="24"/>
        </w:rPr>
        <w:t xml:space="preserve"> yöneticiler, </w:t>
      </w:r>
      <w:r w:rsidRPr="00882E09">
        <w:rPr>
          <w:rFonts w:ascii="Times New Roman" w:hAnsi="Times New Roman" w:cs="Times New Roman"/>
          <w:sz w:val="24"/>
          <w:szCs w:val="24"/>
        </w:rPr>
        <w:t>öğretim üyeleri</w:t>
      </w:r>
      <w:r w:rsidR="005D4876">
        <w:rPr>
          <w:rFonts w:ascii="Times New Roman" w:hAnsi="Times New Roman" w:cs="Times New Roman"/>
          <w:sz w:val="24"/>
          <w:szCs w:val="24"/>
        </w:rPr>
        <w:t xml:space="preserve">, idari personel, 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7CD93" w14:textId="7EEFD7F9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Finansal kaynaklar: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 bütçesi, bağışlar, hibe fonları</w:t>
      </w:r>
      <w:r w:rsidR="00B976BC">
        <w:rPr>
          <w:rFonts w:ascii="Times New Roman" w:hAnsi="Times New Roman" w:cs="Times New Roman"/>
          <w:sz w:val="24"/>
          <w:szCs w:val="24"/>
        </w:rPr>
        <w:t xml:space="preserve">, öz gelirler </w:t>
      </w:r>
      <w:r w:rsidRPr="00882E09">
        <w:rPr>
          <w:rFonts w:ascii="Times New Roman" w:hAnsi="Times New Roman" w:cs="Times New Roman"/>
          <w:sz w:val="24"/>
          <w:szCs w:val="24"/>
        </w:rPr>
        <w:t>gibi finansal kaynaklar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="00B97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64869" w14:textId="77777777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Donanımlar: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Switch, </w:t>
      </w:r>
      <w:proofErr w:type="spellStart"/>
      <w:r w:rsidRPr="00882E09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Pr="00882E09">
        <w:rPr>
          <w:rFonts w:ascii="Times New Roman" w:hAnsi="Times New Roman" w:cs="Times New Roman"/>
          <w:sz w:val="24"/>
          <w:szCs w:val="24"/>
        </w:rPr>
        <w:t xml:space="preserve">, omurga, kenar anahtarlar, güç kaynakları, server, USB, CD, bilgisayar, tablet, diz üstü bilgisayarlar, </w:t>
      </w:r>
    </w:p>
    <w:p w14:paraId="1E24ACFA" w14:textId="77777777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Yazılım varlıkları: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Uygulama yazılımları, sistem yazılımları, geliştirme araçları, </w:t>
      </w:r>
    </w:p>
    <w:p w14:paraId="000CBB94" w14:textId="5FBBAC41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Kayıtlar ve Veriler: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Elektronik ortamda tutulan veriler, kayıtlar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4DE8F" w14:textId="2A80C70C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Dokümantasy</w:t>
      </w:r>
      <w:r w:rsidR="0063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</w:t>
      </w:r>
      <w:r w:rsidRPr="00882E09">
        <w:rPr>
          <w:rFonts w:ascii="Times New Roman" w:hAnsi="Times New Roman" w:cs="Times New Roman"/>
          <w:b/>
          <w:sz w:val="24"/>
          <w:szCs w:val="24"/>
        </w:rPr>
        <w:t>:</w:t>
      </w:r>
      <w:r w:rsidRPr="00882E09">
        <w:rPr>
          <w:rFonts w:ascii="Times New Roman" w:hAnsi="Times New Roman" w:cs="Times New Roman"/>
          <w:sz w:val="24"/>
          <w:szCs w:val="24"/>
        </w:rPr>
        <w:t xml:space="preserve"> Bilgi içeren basılı dokümanlar, evraklar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1B5AB37F" w14:textId="60DBD67A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Servisler (Hizmetler):</w:t>
      </w:r>
      <w:r w:rsidRPr="00882E09">
        <w:rPr>
          <w:rFonts w:ascii="Times New Roman" w:hAnsi="Times New Roman" w:cs="Times New Roman"/>
          <w:sz w:val="24"/>
          <w:szCs w:val="24"/>
        </w:rPr>
        <w:t xml:space="preserve"> Bilgi işleme ve haberleşme servisleri (web servisi, ftp servisi, vb.)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6B744D30" w14:textId="523D58C7" w:rsidR="009A58D6" w:rsidRPr="002E64A0" w:rsidRDefault="009A58D6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Tedarik zinciri verileri: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4A0">
        <w:rPr>
          <w:rFonts w:ascii="Times New Roman" w:eastAsia="Times New Roman" w:hAnsi="Times New Roman" w:cs="Times New Roman"/>
          <w:sz w:val="24"/>
          <w:szCs w:val="24"/>
        </w:rPr>
        <w:t>Malzeme tedarik bilgileri, envanter yönetimi, tedarikçi bilgileri</w:t>
      </w:r>
      <w:r w:rsidR="00B976B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F347F5" w14:textId="4AE8D73D" w:rsidR="009E3791" w:rsidRPr="009E3791" w:rsidRDefault="009E3791" w:rsidP="005D48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Marka: </w:t>
      </w:r>
      <w:r>
        <w:rPr>
          <w:rFonts w:ascii="Times New Roman" w:hAnsi="Times New Roman" w:cs="Times New Roman"/>
          <w:bCs/>
          <w:sz w:val="24"/>
          <w:szCs w:val="24"/>
        </w:rPr>
        <w:t>Üniversitenin</w:t>
      </w:r>
      <w:r w:rsidRPr="009E3791">
        <w:rPr>
          <w:rFonts w:ascii="Times New Roman" w:hAnsi="Times New Roman" w:cs="Times New Roman"/>
          <w:bCs/>
          <w:sz w:val="24"/>
          <w:szCs w:val="24"/>
        </w:rPr>
        <w:t xml:space="preserve"> ürettiği ya da sattığı mal ve hizmetleri diğer kurum ve kuruluşların mal ve hizmetlerinden ayırt etmek için kullandığı işaret, </w:t>
      </w:r>
    </w:p>
    <w:p w14:paraId="54C76BE4" w14:textId="761FA353" w:rsidR="009E3791" w:rsidRPr="009E3791" w:rsidRDefault="009E3791" w:rsidP="005D487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791">
        <w:rPr>
          <w:rFonts w:ascii="Times New Roman" w:hAnsi="Times New Roman" w:cs="Times New Roman"/>
          <w:b/>
          <w:sz w:val="24"/>
          <w:szCs w:val="24"/>
        </w:rPr>
        <w:t xml:space="preserve">Patent: </w:t>
      </w:r>
      <w:r w:rsidRPr="009E3791">
        <w:rPr>
          <w:rFonts w:ascii="Times New Roman" w:hAnsi="Times New Roman" w:cs="Times New Roman"/>
          <w:bCs/>
          <w:sz w:val="24"/>
          <w:szCs w:val="24"/>
        </w:rPr>
        <w:t>Üniversitenin ürettiği ürün, buluş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791">
        <w:rPr>
          <w:rFonts w:ascii="Times New Roman" w:hAnsi="Times New Roman" w:cs="Times New Roman"/>
          <w:bCs/>
          <w:sz w:val="24"/>
          <w:szCs w:val="24"/>
        </w:rPr>
        <w:t>veya icat ettiği ürünün satışı, pazarlanması, çoğaltılması, bir benzerinin üretilmesi gibi alanlarda ayrıcalıklar getiren resmi bir belge ve unvan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D1378CA" w14:textId="5DCF5BF5" w:rsidR="00AD1D15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91">
        <w:rPr>
          <w:rFonts w:ascii="Times New Roman" w:hAnsi="Times New Roman" w:cs="Times New Roman"/>
          <w:b/>
          <w:sz w:val="24"/>
          <w:szCs w:val="24"/>
        </w:rPr>
        <w:t>Gizlilik:</w:t>
      </w:r>
      <w:r w:rsidRPr="009E3791">
        <w:rPr>
          <w:rFonts w:ascii="Times New Roman" w:hAnsi="Times New Roman" w:cs="Times New Roman"/>
          <w:sz w:val="24"/>
          <w:szCs w:val="24"/>
        </w:rPr>
        <w:t xml:space="preserve"> Bilginin içeriğinin görüntülenmesinin, sadece bilgiyi/veriyi görüntülemeye izin verilen kişilerin erişimi ile kısıtlanması</w:t>
      </w:r>
      <w:r w:rsidR="00B976BC">
        <w:rPr>
          <w:rFonts w:ascii="Times New Roman" w:hAnsi="Times New Roman" w:cs="Times New Roman"/>
          <w:sz w:val="24"/>
          <w:szCs w:val="24"/>
        </w:rPr>
        <w:t>,</w:t>
      </w:r>
    </w:p>
    <w:p w14:paraId="644F4774" w14:textId="77777777" w:rsidR="009E3791" w:rsidRPr="009E3791" w:rsidRDefault="009E3791" w:rsidP="009E37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Koruma Önlemleri: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Kritik varlıkların korunması için alınan güvenlik önlemleridir. </w:t>
      </w:r>
    </w:p>
    <w:p w14:paraId="6472E615" w14:textId="77777777" w:rsidR="00AD5A71" w:rsidRDefault="00AD5A71" w:rsidP="0050775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9ABFF" w14:textId="48B1B4D3" w:rsidR="00507759" w:rsidRDefault="003D688E" w:rsidP="00507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E">
        <w:rPr>
          <w:rFonts w:ascii="Times New Roman" w:eastAsia="Times New Roman" w:hAnsi="Times New Roman" w:cs="Times New Roman"/>
          <w:b/>
          <w:bCs/>
          <w:sz w:val="24"/>
          <w:szCs w:val="24"/>
        </w:rPr>
        <w:t>4.0.</w:t>
      </w:r>
      <w:r w:rsidRPr="003D6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D15" w:rsidRPr="003D688E">
        <w:rPr>
          <w:rFonts w:ascii="Times New Roman" w:hAnsi="Times New Roman" w:cs="Times New Roman"/>
          <w:b/>
          <w:sz w:val="24"/>
          <w:szCs w:val="24"/>
        </w:rPr>
        <w:t>UYGULAMA</w:t>
      </w:r>
    </w:p>
    <w:p w14:paraId="22FD5B9E" w14:textId="77777777" w:rsidR="00507759" w:rsidRPr="00507759" w:rsidRDefault="00507759" w:rsidP="00507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9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D1D15" w:rsidRPr="00507759">
        <w:rPr>
          <w:rFonts w:ascii="Times New Roman" w:hAnsi="Times New Roman" w:cs="Times New Roman"/>
          <w:b/>
          <w:sz w:val="24"/>
          <w:szCs w:val="24"/>
        </w:rPr>
        <w:t>Varlık Envanterinin Oluşturulması:</w:t>
      </w:r>
      <w:r w:rsidR="00AD1D15" w:rsidRPr="00507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FD0DD" w14:textId="0EF6F602" w:rsidR="00D570DB" w:rsidRPr="001E48A4" w:rsidRDefault="00176AF2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Üniversite sahip olduğu tüm varlıkların envanteri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oluştur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. Bu envanter,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finansal</w:t>
      </w:r>
      <w:r w:rsidR="009C15FC" w:rsidRPr="001E48A4">
        <w:rPr>
          <w:rFonts w:ascii="Times New Roman" w:eastAsia="Times New Roman" w:hAnsi="Times New Roman" w:cs="Times New Roman"/>
          <w:sz w:val="24"/>
          <w:szCs w:val="24"/>
        </w:rPr>
        <w:t xml:space="preserve">/mali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varlıkları, maddi varlıkları ve maddi olmayan varlıkları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kapsamaktadır.</w:t>
      </w:r>
      <w:r w:rsidR="00DE1138" w:rsidRPr="001E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F10C7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9F4C4" w14:textId="222C1485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Finansal/Mali varlıklar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oluşturan 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cari ve sermaye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bütçeler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, gelirler, hibeler, bağışlar gibi finansallar Bütünleşik Kamu Mali Yönetim Bilişim Sistemi Platformu üzerinden kayıt ve takip edilir. </w:t>
      </w:r>
    </w:p>
    <w:p w14:paraId="54427ACB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6B522" w14:textId="101C0185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Maddi varlıkları oluşturan taşınırlar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Taşınır Kayıt Yönetim Sistemi üzerinden, taşınmazlar ise Tapu Kayıtlarından takip edilir. </w:t>
      </w:r>
    </w:p>
    <w:p w14:paraId="036543F3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6C7EC" w14:textId="723F0FE4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Maddi olmayan varlıklar ise </w:t>
      </w:r>
      <w:r w:rsidR="00D92DAB" w:rsidRPr="001E48A4">
        <w:rPr>
          <w:rFonts w:ascii="Times New Roman" w:eastAsia="Times New Roman" w:hAnsi="Times New Roman" w:cs="Times New Roman"/>
          <w:sz w:val="24"/>
          <w:szCs w:val="24"/>
        </w:rPr>
        <w:t xml:space="preserve">Bilgi İşlem Daire Başkanlığı ve Teknoloji Transfer Uygulama ve Araştırma Merkezi kayıtları ile takip edilir. </w:t>
      </w:r>
    </w:p>
    <w:p w14:paraId="2D4B999C" w14:textId="77777777" w:rsidR="001E48A4" w:rsidRPr="00083156" w:rsidRDefault="001E48A4" w:rsidP="001E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3BAEB" w14:textId="74C1BEB3" w:rsidR="00D062D8" w:rsidRPr="00083156" w:rsidRDefault="001E48A4" w:rsidP="00D06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56">
        <w:rPr>
          <w:rFonts w:ascii="Times New Roman" w:hAnsi="Times New Roman" w:cs="Times New Roman"/>
          <w:b/>
          <w:sz w:val="24"/>
          <w:szCs w:val="24"/>
        </w:rPr>
        <w:t>4.2. Kritik Varlıkların Belirlenmesi</w:t>
      </w:r>
      <w:r w:rsidR="00D062D8" w:rsidRPr="00083156">
        <w:rPr>
          <w:rFonts w:ascii="Times New Roman" w:hAnsi="Times New Roman" w:cs="Times New Roman"/>
          <w:b/>
          <w:sz w:val="24"/>
          <w:szCs w:val="24"/>
        </w:rPr>
        <w:t xml:space="preserve"> ve Sınıflandırılması</w:t>
      </w:r>
    </w:p>
    <w:p w14:paraId="5EE1F5B8" w14:textId="17BED099" w:rsidR="00D570DB" w:rsidRPr="00083156" w:rsidRDefault="001E48A4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56">
        <w:rPr>
          <w:rFonts w:ascii="Times New Roman" w:eastAsia="Times New Roman" w:hAnsi="Times New Roman" w:cs="Times New Roman"/>
          <w:sz w:val="24"/>
          <w:szCs w:val="24"/>
        </w:rPr>
        <w:t>Her harcama birimi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 kendi sorumluluğunda olan, </w:t>
      </w:r>
      <w:r w:rsidR="00422387" w:rsidRPr="00C77A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ritik varlıkları Varlık </w:t>
      </w:r>
      <w:r w:rsidR="00422387" w:rsidRPr="00C77AA6">
        <w:rPr>
          <w:rFonts w:ascii="Times New Roman" w:eastAsia="Times New Roman" w:hAnsi="Times New Roman" w:cs="Times New Roman"/>
          <w:sz w:val="24"/>
          <w:szCs w:val="24"/>
        </w:rPr>
        <w:t>Değeri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 Belirleme Tablosuna (Tablo 1) göre belirler.</w:t>
      </w:r>
      <w:r w:rsidR="00083156" w:rsidRPr="00C7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5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</w:t>
      </w:r>
      <w:r w:rsidR="0063416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-641 </w:t>
      </w:r>
      <w:r w:rsidR="005437F2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Kritik Varlık Envanter Formuna</w:t>
      </w:r>
      <w:r w:rsidR="0063416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7F2" w:rsidRPr="00083156">
        <w:rPr>
          <w:rFonts w:ascii="Times New Roman" w:eastAsia="Times New Roman" w:hAnsi="Times New Roman" w:cs="Times New Roman"/>
          <w:sz w:val="24"/>
          <w:szCs w:val="24"/>
        </w:rPr>
        <w:t xml:space="preserve">kaydeder. </w:t>
      </w:r>
    </w:p>
    <w:p w14:paraId="577D529D" w14:textId="77777777" w:rsidR="00D062D8" w:rsidRDefault="00D062D8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87174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8537F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5A4F1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3C399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D3A3B" w14:textId="0E553D20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6B4CC" w14:textId="77777777" w:rsidR="00634166" w:rsidRDefault="0063416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E8DDF" w14:textId="77777777" w:rsidR="00C77AA6" w:rsidRPr="0008315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7CCAC" w14:textId="2E334A6F" w:rsidR="001E48A4" w:rsidRPr="00083156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2et92p0" w:colFirst="0" w:colLast="0"/>
      <w:bookmarkStart w:id="4" w:name="_Hlk139406588"/>
      <w:bookmarkEnd w:id="3"/>
      <w:r w:rsidRPr="00083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1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. Varlık </w:t>
      </w:r>
      <w:r w:rsidR="00422387" w:rsidRPr="00083156">
        <w:rPr>
          <w:rFonts w:ascii="Times New Roman" w:hAnsi="Times New Roman" w:cs="Times New Roman"/>
          <w:b/>
          <w:sz w:val="24"/>
          <w:szCs w:val="24"/>
        </w:rPr>
        <w:t>Değer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i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 Belirlenme Tablosu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3299"/>
        <w:gridCol w:w="3299"/>
      </w:tblGrid>
      <w:tr w:rsidR="00083156" w:rsidRPr="00083156" w14:paraId="50C3A696" w14:textId="77777777" w:rsidTr="00AC2ACC">
        <w:trPr>
          <w:trHeight w:val="300"/>
        </w:trPr>
        <w:tc>
          <w:tcPr>
            <w:tcW w:w="3298" w:type="dxa"/>
          </w:tcPr>
          <w:p w14:paraId="5563AC83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3299" w:type="dxa"/>
          </w:tcPr>
          <w:p w14:paraId="6BDE091C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3299" w:type="dxa"/>
          </w:tcPr>
          <w:p w14:paraId="40106A1D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Sınıfı</w:t>
            </w:r>
          </w:p>
        </w:tc>
      </w:tr>
      <w:tr w:rsidR="00083156" w:rsidRPr="00083156" w14:paraId="46154520" w14:textId="77777777" w:rsidTr="00AC2ACC">
        <w:trPr>
          <w:trHeight w:val="240"/>
        </w:trPr>
        <w:tc>
          <w:tcPr>
            <w:tcW w:w="3298" w:type="dxa"/>
          </w:tcPr>
          <w:p w14:paraId="7CDAB057" w14:textId="48D93BD2" w:rsidR="001E48A4" w:rsidRPr="00083156" w:rsidRDefault="00927CF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9" w:type="dxa"/>
          </w:tcPr>
          <w:p w14:paraId="6CABF05D" w14:textId="281AC8AE" w:rsidR="001E48A4" w:rsidRPr="00083156" w:rsidRDefault="00927CF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9" w:type="dxa"/>
          </w:tcPr>
          <w:p w14:paraId="1B311C3E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Çok gizli</w:t>
            </w:r>
          </w:p>
        </w:tc>
      </w:tr>
      <w:tr w:rsidR="00083156" w:rsidRPr="00083156" w14:paraId="7AF22445" w14:textId="77777777" w:rsidTr="00AC2ACC">
        <w:trPr>
          <w:trHeight w:val="240"/>
        </w:trPr>
        <w:tc>
          <w:tcPr>
            <w:tcW w:w="3298" w:type="dxa"/>
          </w:tcPr>
          <w:p w14:paraId="3909A4DB" w14:textId="16AC6F77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9" w:type="dxa"/>
          </w:tcPr>
          <w:p w14:paraId="4206434B" w14:textId="68F689BC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9" w:type="dxa"/>
          </w:tcPr>
          <w:p w14:paraId="05507701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Gizli</w:t>
            </w:r>
          </w:p>
        </w:tc>
      </w:tr>
      <w:tr w:rsidR="00083156" w:rsidRPr="00083156" w14:paraId="6A27213C" w14:textId="77777777" w:rsidTr="00AC2ACC">
        <w:trPr>
          <w:trHeight w:val="240"/>
        </w:trPr>
        <w:tc>
          <w:tcPr>
            <w:tcW w:w="3298" w:type="dxa"/>
          </w:tcPr>
          <w:p w14:paraId="36667323" w14:textId="133E33BF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</w:tcPr>
          <w:p w14:paraId="135BDA29" w14:textId="306F3E3C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9" w:type="dxa"/>
          </w:tcPr>
          <w:p w14:paraId="45CD2592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Kuruma Özel</w:t>
            </w:r>
          </w:p>
        </w:tc>
      </w:tr>
      <w:tr w:rsidR="00D062D8" w:rsidRPr="00083156" w14:paraId="646211DC" w14:textId="77777777" w:rsidTr="00AC2ACC">
        <w:trPr>
          <w:trHeight w:val="260"/>
        </w:trPr>
        <w:tc>
          <w:tcPr>
            <w:tcW w:w="3298" w:type="dxa"/>
          </w:tcPr>
          <w:p w14:paraId="7A32FAC5" w14:textId="2D565B30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10CB6110" w14:textId="29CFE989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14:paraId="65576246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Önemsiz Bilgi</w:t>
            </w:r>
          </w:p>
        </w:tc>
      </w:tr>
    </w:tbl>
    <w:p w14:paraId="21541D7C" w14:textId="77777777" w:rsidR="001E48A4" w:rsidRPr="00083156" w:rsidRDefault="001E48A4" w:rsidP="001E48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883E" w14:textId="60DE6438" w:rsidR="001E48A4" w:rsidRPr="00083156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3156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2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. Varlık Değeri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Sınıflandırma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 Tablosu</w:t>
      </w:r>
    </w:p>
    <w:tbl>
      <w:tblPr>
        <w:tblW w:w="9853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923"/>
        <w:gridCol w:w="1134"/>
        <w:gridCol w:w="3685"/>
        <w:gridCol w:w="4111"/>
      </w:tblGrid>
      <w:tr w:rsidR="00083156" w:rsidRPr="00083156" w14:paraId="6054280D" w14:textId="77777777" w:rsidTr="00083156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676A3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</w:t>
            </w: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202F6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Sınıfı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7699" w14:textId="0E3DBEE3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Kritik Varlık Gizlilik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58C3" w14:textId="0635B678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Kritik Varlık Erişilebilirlik/ Kullanılabilirlik</w:t>
            </w:r>
          </w:p>
        </w:tc>
      </w:tr>
      <w:tr w:rsidR="00083156" w:rsidRPr="00083156" w14:paraId="08E1AFCA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15431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8AA2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Önemsiz Bilgi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E307B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C136B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083156" w:rsidRPr="00083156" w14:paraId="7AB85DDF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18989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2C9B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Kuruma Özel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9F600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03DF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083156" w:rsidRPr="00083156" w14:paraId="64883C39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2861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7C829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Gizli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AC35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E7480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083156" w:rsidRPr="00083156" w14:paraId="6B882D7C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B3BDC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44900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Çok Gizli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7C4A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E4DB7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6245DD3D" w14:textId="77777777" w:rsidR="001E48A4" w:rsidRPr="00AD1D15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tyjcwt" w:colFirst="0" w:colLast="0"/>
      <w:bookmarkEnd w:id="4"/>
      <w:bookmarkEnd w:id="5"/>
    </w:p>
    <w:p w14:paraId="7CB54EAA" w14:textId="3D22F932" w:rsidR="00D570DB" w:rsidRDefault="00D570DB" w:rsidP="00507759">
      <w:pPr>
        <w:pStyle w:val="ListeParagraf"/>
        <w:spacing w:line="276" w:lineRule="auto"/>
        <w:jc w:val="both"/>
      </w:pPr>
    </w:p>
    <w:p w14:paraId="01BED7CC" w14:textId="11695E6A" w:rsidR="00634166" w:rsidRDefault="00634166" w:rsidP="00507759">
      <w:pPr>
        <w:pStyle w:val="ListeParagraf"/>
        <w:spacing w:line="276" w:lineRule="auto"/>
        <w:jc w:val="both"/>
      </w:pPr>
    </w:p>
    <w:p w14:paraId="1257CFEC" w14:textId="4DD038D2" w:rsidR="00634166" w:rsidRDefault="00634166" w:rsidP="00507759">
      <w:pPr>
        <w:pStyle w:val="ListeParagraf"/>
        <w:spacing w:line="276" w:lineRule="auto"/>
        <w:jc w:val="both"/>
      </w:pPr>
    </w:p>
    <w:p w14:paraId="4820B0F2" w14:textId="293119E5" w:rsidR="00634166" w:rsidRDefault="00634166" w:rsidP="00507759">
      <w:pPr>
        <w:pStyle w:val="ListeParagraf"/>
        <w:spacing w:line="276" w:lineRule="auto"/>
        <w:jc w:val="both"/>
      </w:pPr>
    </w:p>
    <w:p w14:paraId="5BBB21D5" w14:textId="77777777" w:rsidR="00634166" w:rsidRDefault="00634166" w:rsidP="00507759">
      <w:pPr>
        <w:pStyle w:val="ListeParagraf"/>
        <w:spacing w:line="276" w:lineRule="auto"/>
        <w:jc w:val="both"/>
      </w:pPr>
    </w:p>
    <w:p w14:paraId="72FDD297" w14:textId="4EB7AA62" w:rsidR="00D062D8" w:rsidRDefault="00D062D8" w:rsidP="00D062D8">
      <w:pPr>
        <w:pStyle w:val="ListeParagraf"/>
        <w:spacing w:line="276" w:lineRule="auto"/>
        <w:ind w:hanging="720"/>
        <w:jc w:val="both"/>
        <w:rPr>
          <w:b/>
        </w:rPr>
      </w:pPr>
      <w:r>
        <w:rPr>
          <w:b/>
        </w:rPr>
        <w:t xml:space="preserve">4.3. Kritik Varlıkların </w:t>
      </w:r>
      <w:r w:rsidR="002B4763">
        <w:rPr>
          <w:b/>
        </w:rPr>
        <w:t xml:space="preserve">Gizliliğinin </w:t>
      </w:r>
      <w:r>
        <w:rPr>
          <w:b/>
        </w:rPr>
        <w:t>Sorumluluğu</w:t>
      </w:r>
      <w:r w:rsidR="00AD1D15" w:rsidRPr="00AD1D15">
        <w:rPr>
          <w:b/>
        </w:rPr>
        <w:t xml:space="preserve">: </w:t>
      </w:r>
    </w:p>
    <w:p w14:paraId="7754942A" w14:textId="77777777" w:rsidR="00D062D8" w:rsidRDefault="00D062D8" w:rsidP="00D062D8">
      <w:pPr>
        <w:pStyle w:val="ListeParagraf"/>
        <w:spacing w:line="276" w:lineRule="auto"/>
        <w:ind w:hanging="720"/>
        <w:jc w:val="both"/>
        <w:rPr>
          <w:b/>
        </w:rPr>
      </w:pPr>
    </w:p>
    <w:p w14:paraId="0D624367" w14:textId="77777777" w:rsidR="00D062D8" w:rsidRDefault="00D062D8" w:rsidP="00D062D8">
      <w:pPr>
        <w:pStyle w:val="ListeParagraf"/>
        <w:spacing w:line="276" w:lineRule="auto"/>
        <w:ind w:left="0"/>
        <w:jc w:val="both"/>
      </w:pPr>
      <w:r>
        <w:t xml:space="preserve">Kritik Varlıkların </w:t>
      </w:r>
      <w:r w:rsidR="00AD1D15" w:rsidRPr="00AD1D15">
        <w:t>gizliliğinin, bütünlüğünün, erişilebilirliğinin sağlanmasında birinci derecede sorumlu ilgili</w:t>
      </w:r>
      <w:r>
        <w:t xml:space="preserve"> </w:t>
      </w:r>
      <w:r w:rsidR="00AD1D15" w:rsidRPr="00AD1D15">
        <w:t>birim yetkilileridir. Varlık değerinin belirlenmesi, varlığa yönelik risk tanımlamalarının yapılması ise</w:t>
      </w:r>
      <w:r>
        <w:t xml:space="preserve"> üst yönetimce belirlenen komisyon tarafından</w:t>
      </w:r>
      <w:r w:rsidR="00AD1D15" w:rsidRPr="00AD1D15">
        <w:t xml:space="preserve"> yürütülecektir.</w:t>
      </w:r>
    </w:p>
    <w:p w14:paraId="2E97DAC4" w14:textId="77777777" w:rsidR="00D062D8" w:rsidRDefault="00D062D8" w:rsidP="00D062D8">
      <w:pPr>
        <w:pStyle w:val="ListeParagraf"/>
        <w:spacing w:line="276" w:lineRule="auto"/>
        <w:ind w:left="0"/>
        <w:jc w:val="both"/>
      </w:pPr>
    </w:p>
    <w:p w14:paraId="51CFE550" w14:textId="77777777" w:rsidR="00083156" w:rsidRDefault="00AD1D15" w:rsidP="00083156">
      <w:pPr>
        <w:pStyle w:val="ListeParagraf"/>
        <w:spacing w:line="276" w:lineRule="auto"/>
        <w:ind w:left="0"/>
        <w:jc w:val="both"/>
      </w:pPr>
      <w:r w:rsidRPr="00AD1D15">
        <w:t xml:space="preserve">İlgili birim amirlerince Kritik Varlıkları bulunduran </w:t>
      </w:r>
      <w:r w:rsidR="005437F2">
        <w:t xml:space="preserve">ve </w:t>
      </w:r>
      <w:r w:rsidRPr="00AD1D15">
        <w:t xml:space="preserve">bu bilgileri işleme, okuma, görme vb. yetkilere haiz olan akademik ve idari personellere yönelik olarak aşağıda yer alan tedbir maddeleri uygulanacaktır. </w:t>
      </w:r>
    </w:p>
    <w:p w14:paraId="643BD835" w14:textId="7FFB3B75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4.3.1.</w:t>
      </w:r>
      <w:r>
        <w:t xml:space="preserve"> </w:t>
      </w:r>
      <w:r w:rsidR="00AD1D15" w:rsidRPr="00083156">
        <w:rPr>
          <w:color w:val="000000"/>
        </w:rPr>
        <w:t xml:space="preserve">Kurumda kullanılan hassas ve önemli iş bilgilerini içeren her türlü </w:t>
      </w:r>
      <w:r w:rsidR="005437F2" w:rsidRPr="00083156">
        <w:rPr>
          <w:color w:val="000000"/>
        </w:rPr>
        <w:t xml:space="preserve">kritik </w:t>
      </w:r>
      <w:r w:rsidR="00AD1D15" w:rsidRPr="00083156">
        <w:rPr>
          <w:color w:val="000000"/>
        </w:rPr>
        <w:t>bilgi varlıkları (basılı belgeler, USB Bellekler, CD/DVD, bilgisayar, tablet vb.)</w:t>
      </w:r>
      <w:r>
        <w:rPr>
          <w:color w:val="000000"/>
        </w:rPr>
        <w:t xml:space="preserve"> </w:t>
      </w:r>
      <w:r w:rsidR="00AD1D15" w:rsidRPr="00083156">
        <w:rPr>
          <w:color w:val="000000"/>
        </w:rPr>
        <w:t>kullanılmadığında, özellikle de mesai saatlerinin dışında, çekmecelerde ve/veya diğer güvenli yerlerde kilitli olarak tutulur.</w:t>
      </w:r>
    </w:p>
    <w:p w14:paraId="499C0CA9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4.3.2.</w:t>
      </w:r>
      <w:r>
        <w:t xml:space="preserve"> </w:t>
      </w:r>
      <w:r w:rsidR="00AD1D15" w:rsidRPr="00AD1D15">
        <w:rPr>
          <w:color w:val="000000"/>
        </w:rPr>
        <w:t>Gelen ve giden gizli, çok gizli bilgiler, gelişi güzel ya da güvenli olmayan bir şekilde, faks/yazıcı/fotokopi/tarayıcı cihazlar üzerinde bırakılamaz.</w:t>
      </w:r>
    </w:p>
    <w:p w14:paraId="137EAFCC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4.3.3.</w:t>
      </w:r>
      <w:r>
        <w:t xml:space="preserve"> </w:t>
      </w:r>
      <w:r w:rsidR="00AD1D15" w:rsidRPr="00AD1D15">
        <w:rPr>
          <w:color w:val="000000"/>
        </w:rPr>
        <w:t>Kritik varlık içeren kayıt araçları, güvenli bir şekilde depolanır ve kullanımdan kaldırılacağı zaman imha edilir.</w:t>
      </w:r>
    </w:p>
    <w:p w14:paraId="28F7501E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4.3.4.</w:t>
      </w:r>
      <w:r>
        <w:t xml:space="preserve"> </w:t>
      </w:r>
      <w:r w:rsidR="00AD1D15" w:rsidRPr="00AD1D15">
        <w:rPr>
          <w:color w:val="000000"/>
        </w:rPr>
        <w:t>İlgili birim amirlerince kritik varlıkları okuma, yazma, işleme vb. iş süreçlerini yürüten personellerle bu personellerin izin, rapor vb. durumlarda yerine bakacak personeller FR-447 Personel Görev Yetkileri Formu ile belirlenir.</w:t>
      </w:r>
    </w:p>
    <w:p w14:paraId="497291D2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4.3.5.</w:t>
      </w:r>
      <w:r>
        <w:t xml:space="preserve"> </w:t>
      </w:r>
      <w:r w:rsidR="00AD1D15" w:rsidRPr="00AD1D15">
        <w:rPr>
          <w:color w:val="000000"/>
        </w:rPr>
        <w:t>Kritik Varlıkların bulunduğu bilişim sistemleri veya arşivlerin güvenlikleri ilgili birim amirlerince alınır.</w:t>
      </w:r>
    </w:p>
    <w:p w14:paraId="51EA2A80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4.3.6.</w:t>
      </w:r>
      <w:r>
        <w:t xml:space="preserve"> </w:t>
      </w:r>
      <w:r w:rsidR="00AD1D15" w:rsidRPr="00AD1D15">
        <w:rPr>
          <w:color w:val="000000"/>
        </w:rPr>
        <w:t>Kritik Varlıkların bulunduğu bilişim sistemlerinin kaybolması, çalınması vb. durumlarda ilgili birim amirlerince konu yetkili makamlara bildirilir.</w:t>
      </w:r>
    </w:p>
    <w:p w14:paraId="726AE17F" w14:textId="4B70D351" w:rsidR="00AD1D15" w:rsidRP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4.3.7.</w:t>
      </w:r>
      <w:r>
        <w:t xml:space="preserve"> </w:t>
      </w:r>
      <w:r w:rsidR="00AD1D15" w:rsidRPr="00AD1D15">
        <w:rPr>
          <w:color w:val="000000"/>
        </w:rPr>
        <w:t xml:space="preserve">Kritik Varlıkların </w:t>
      </w:r>
      <w:proofErr w:type="spellStart"/>
      <w:r w:rsidR="00AD1D15" w:rsidRPr="00AD1D15">
        <w:rPr>
          <w:color w:val="000000"/>
        </w:rPr>
        <w:t>oltalama</w:t>
      </w:r>
      <w:proofErr w:type="spellEnd"/>
      <w:r w:rsidR="00AD1D15" w:rsidRPr="00AD1D15">
        <w:rPr>
          <w:color w:val="000000"/>
        </w:rPr>
        <w:t xml:space="preserve">, </w:t>
      </w:r>
      <w:proofErr w:type="spellStart"/>
      <w:r w:rsidR="00AD1D15" w:rsidRPr="00AD1D15">
        <w:rPr>
          <w:color w:val="000000"/>
        </w:rPr>
        <w:t>hackleme</w:t>
      </w:r>
      <w:proofErr w:type="spellEnd"/>
      <w:r w:rsidR="00AD1D15" w:rsidRPr="00AD1D15">
        <w:rPr>
          <w:color w:val="000000"/>
        </w:rPr>
        <w:t xml:space="preserve"> vb. nedenlerle üçüncü şahısların eline geçmesi durumunda ilgili birim amirlerince Bilgi İşlem Daire Başkanlığı bilgilendirilerek BGYS-PR-012 Olay İhlal Prosedürü işletilir.</w:t>
      </w:r>
    </w:p>
    <w:p w14:paraId="79724B7C" w14:textId="77777777" w:rsidR="00D570DB" w:rsidRDefault="00D570DB" w:rsidP="008B1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3491" w14:textId="242FA693" w:rsidR="008B1F8D" w:rsidRPr="008B1F8D" w:rsidRDefault="002B4763" w:rsidP="008B1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B1F8D" w:rsidRPr="008B1F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B1F8D" w:rsidRPr="008B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1F8D" w:rsidRPr="008B1F8D">
        <w:rPr>
          <w:rFonts w:ascii="Times New Roman" w:hAnsi="Times New Roman" w:cs="Times New Roman"/>
          <w:b/>
          <w:bCs/>
          <w:sz w:val="24"/>
          <w:szCs w:val="24"/>
        </w:rPr>
        <w:t>SORUM</w:t>
      </w:r>
      <w:r>
        <w:rPr>
          <w:rFonts w:ascii="Times New Roman" w:hAnsi="Times New Roman" w:cs="Times New Roman"/>
          <w:b/>
          <w:bCs/>
          <w:sz w:val="24"/>
          <w:szCs w:val="24"/>
        </w:rPr>
        <w:t>LU</w:t>
      </w:r>
      <w:r w:rsidR="008B1F8D" w:rsidRPr="008B1F8D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14:paraId="241870DA" w14:textId="55A5C9D9" w:rsidR="008B1F8D" w:rsidRP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 xml:space="preserve">Bu prosedürün işletilmesinde 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öncelikli olarak </w:t>
      </w:r>
    </w:p>
    <w:p w14:paraId="58AE1BDB" w14:textId="77777777" w:rsidR="008B1F8D" w:rsidRP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Strateji Geliştirme Daire Başkanlığı</w:t>
      </w:r>
    </w:p>
    <w:p w14:paraId="2A6F9766" w14:textId="77777777" w:rsid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Bilgi İşlem Daire Başkanlığı</w:t>
      </w:r>
    </w:p>
    <w:p w14:paraId="0FF64239" w14:textId="73C71B79" w:rsidR="00E8113D" w:rsidRPr="008B1F8D" w:rsidRDefault="00E8113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1E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Yapı İşleri ve Teknik Daire Başkanlığı</w:t>
      </w:r>
    </w:p>
    <w:p w14:paraId="19A62026" w14:textId="77777777" w:rsidR="009C15FC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Teknoloji ve Transfer Uygulama ve Araştırma Merkezi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olmak üzere </w:t>
      </w:r>
      <w:r w:rsidR="009C1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698E10" w14:textId="350DD8B3" w:rsidR="008B1F8D" w:rsidRDefault="00DE1138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Tüm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Harcama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Birimler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Kalite Yönetim Koordinatörlüğü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sorumludur.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3F0937" w14:textId="60517A0A" w:rsidR="00634166" w:rsidRDefault="00634166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51A2E" w14:textId="77777777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EA290E" w14:textId="727C509F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1D15">
        <w:rPr>
          <w:rFonts w:ascii="Times New Roman" w:hAnsi="Times New Roman" w:cs="Times New Roman"/>
          <w:b/>
          <w:sz w:val="24"/>
          <w:szCs w:val="24"/>
        </w:rPr>
        <w:t>İlgili Dokümanlar</w:t>
      </w:r>
    </w:p>
    <w:p w14:paraId="262DE4F1" w14:textId="77777777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DE0541" w14:textId="7913F886" w:rsidR="00AD1D15" w:rsidRPr="00224E0D" w:rsidRDefault="00AD1D15" w:rsidP="008B1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 xml:space="preserve">FR-447 Personel Görev Yetkileri Formu </w:t>
      </w:r>
    </w:p>
    <w:p w14:paraId="3BE14EF8" w14:textId="77777777" w:rsidR="00634166" w:rsidRDefault="00224E0D" w:rsidP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>BGYS-PR-012 Olay İhlal Prosedürünü</w:t>
      </w:r>
    </w:p>
    <w:p w14:paraId="6EEDC812" w14:textId="0E99C32D" w:rsidR="00C77AA6" w:rsidRPr="00C77AA6" w:rsidRDefault="00C77AA6" w:rsidP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A6">
        <w:rPr>
          <w:rFonts w:ascii="Times New Roman" w:hAnsi="Times New Roman" w:cs="Times New Roman"/>
          <w:sz w:val="24"/>
          <w:szCs w:val="24"/>
        </w:rPr>
        <w:t>FR-542 TTO Buluş Bildirim Formu</w:t>
      </w:r>
    </w:p>
    <w:p w14:paraId="2D77FC30" w14:textId="2FE317D7" w:rsidR="00224E0D" w:rsidRPr="00224E0D" w:rsidRDefault="00224E0D" w:rsidP="00224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>FR</w:t>
      </w:r>
      <w:r w:rsidR="00634166">
        <w:rPr>
          <w:rFonts w:ascii="Times New Roman" w:hAnsi="Times New Roman" w:cs="Times New Roman"/>
          <w:sz w:val="24"/>
          <w:szCs w:val="24"/>
        </w:rPr>
        <w:t>-641</w:t>
      </w:r>
      <w:r w:rsidRPr="00224E0D">
        <w:rPr>
          <w:rFonts w:ascii="Times New Roman" w:hAnsi="Times New Roman" w:cs="Times New Roman"/>
          <w:sz w:val="24"/>
          <w:szCs w:val="24"/>
        </w:rPr>
        <w:t xml:space="preserve">Kritik Varlık Envanter Formu </w:t>
      </w:r>
    </w:p>
    <w:p w14:paraId="7012362D" w14:textId="77777777" w:rsidR="00C77AA6" w:rsidRPr="00C77AA6" w:rsidRDefault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AA6" w:rsidRPr="00C77AA6" w:rsidSect="00F14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849" w:bottom="1417" w:left="1417" w:header="70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1A0F8" w14:textId="77777777" w:rsidR="00EB1F50" w:rsidRDefault="00EB1F50" w:rsidP="005F4369">
      <w:r>
        <w:separator/>
      </w:r>
    </w:p>
  </w:endnote>
  <w:endnote w:type="continuationSeparator" w:id="0">
    <w:p w14:paraId="14F15EAC" w14:textId="77777777" w:rsidR="00EB1F50" w:rsidRDefault="00EB1F50" w:rsidP="005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BBCB" w14:textId="77777777" w:rsidR="00634166" w:rsidRDefault="006341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55D" w14:textId="7E5C3F85" w:rsidR="000413E3" w:rsidRDefault="000413E3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87B45" wp14:editId="606E5124">
              <wp:simplePos x="0" y="0"/>
              <wp:positionH relativeFrom="column">
                <wp:posOffset>-259715</wp:posOffset>
              </wp:positionH>
              <wp:positionV relativeFrom="paragraph">
                <wp:posOffset>-18415</wp:posOffset>
              </wp:positionV>
              <wp:extent cx="6484790" cy="18604"/>
              <wp:effectExtent l="0" t="0" r="11430" b="1968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479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11135D" id="Dikdörtgen 38" o:spid="_x0000_s1026" style="position:absolute;margin-left:-20.45pt;margin-top:-1.45pt;width:510.6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" fillcolor="black [3213]" strokeweight=".5pt">
              <w10:wrap type="square"/>
            </v:rect>
          </w:pict>
        </mc:Fallback>
      </mc:AlternateContent>
    </w:r>
  </w:p>
  <w:tbl>
    <w:tblPr>
      <w:tblStyle w:val="TabloKlavuzu"/>
      <w:tblW w:w="10065" w:type="dxa"/>
      <w:tblInd w:w="-289" w:type="dxa"/>
      <w:tblLook w:val="04A0" w:firstRow="1" w:lastRow="0" w:firstColumn="1" w:lastColumn="0" w:noHBand="0" w:noVBand="1"/>
    </w:tblPr>
    <w:tblGrid>
      <w:gridCol w:w="2269"/>
      <w:gridCol w:w="3402"/>
      <w:gridCol w:w="2410"/>
      <w:gridCol w:w="1984"/>
    </w:tblGrid>
    <w:tr w:rsidR="00AD1D15" w:rsidRPr="00284C08" w14:paraId="5480D5EC" w14:textId="77777777" w:rsidTr="006B6CEF">
      <w:trPr>
        <w:trHeight w:val="128"/>
      </w:trPr>
      <w:tc>
        <w:tcPr>
          <w:tcW w:w="2269" w:type="dxa"/>
          <w:vMerge w:val="restart"/>
          <w:vAlign w:val="center"/>
        </w:tcPr>
        <w:p w14:paraId="120C0DA7" w14:textId="7D8D4558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402" w:type="dxa"/>
          <w:vMerge w:val="restart"/>
          <w:vAlign w:val="center"/>
        </w:tcPr>
        <w:p w14:paraId="73747C48" w14:textId="3D91FD3D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56D0D456" w14:textId="76B5AF90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Doküman No</w:t>
          </w:r>
        </w:p>
      </w:tc>
      <w:tc>
        <w:tcPr>
          <w:tcW w:w="1984" w:type="dxa"/>
        </w:tcPr>
        <w:p w14:paraId="246EBC96" w14:textId="68340B56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  <w:b/>
            </w:rPr>
          </w:pPr>
          <w:r w:rsidRPr="00634166">
            <w:rPr>
              <w:b/>
            </w:rPr>
            <w:t>PR</w:t>
          </w:r>
          <w:r w:rsidR="00634166" w:rsidRPr="00634166">
            <w:rPr>
              <w:b/>
            </w:rPr>
            <w:t>-040</w:t>
          </w:r>
        </w:p>
      </w:tc>
    </w:tr>
    <w:tr w:rsidR="00AD1D15" w:rsidRPr="00284C08" w14:paraId="436F5EF7" w14:textId="77777777" w:rsidTr="006B6CEF">
      <w:trPr>
        <w:trHeight w:val="258"/>
      </w:trPr>
      <w:tc>
        <w:tcPr>
          <w:tcW w:w="2269" w:type="dxa"/>
          <w:vMerge/>
          <w:vAlign w:val="center"/>
        </w:tcPr>
        <w:p w14:paraId="6D9B9CD8" w14:textId="6B7984B8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  <w:vAlign w:val="center"/>
        </w:tcPr>
        <w:p w14:paraId="05DCE9B5" w14:textId="77777777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06FE7323" w14:textId="3EAB611F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984" w:type="dxa"/>
        </w:tcPr>
        <w:p w14:paraId="6A93C9E6" w14:textId="14CF8FA7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05.07.2023</w:t>
          </w:r>
        </w:p>
      </w:tc>
    </w:tr>
    <w:tr w:rsidR="00AD1D15" w:rsidRPr="00284C08" w14:paraId="45428F56" w14:textId="77777777" w:rsidTr="006B6CEF">
      <w:trPr>
        <w:trHeight w:val="242"/>
      </w:trPr>
      <w:tc>
        <w:tcPr>
          <w:tcW w:w="2269" w:type="dxa"/>
          <w:vAlign w:val="center"/>
        </w:tcPr>
        <w:p w14:paraId="2328C129" w14:textId="03CF74D5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  <w:tc>
        <w:tcPr>
          <w:tcW w:w="3402" w:type="dxa"/>
          <w:vAlign w:val="center"/>
        </w:tcPr>
        <w:p w14:paraId="6D86F79E" w14:textId="0561D6C3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6DD6624E" w14:textId="097084BB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984" w:type="dxa"/>
        </w:tcPr>
        <w:p w14:paraId="5486388E" w14:textId="5460C5E4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-</w:t>
          </w:r>
        </w:p>
      </w:tc>
    </w:tr>
    <w:tr w:rsidR="00AD1D15" w:rsidRPr="00284C08" w14:paraId="1113F8A4" w14:textId="77777777" w:rsidTr="006B6CEF">
      <w:trPr>
        <w:trHeight w:val="242"/>
      </w:trPr>
      <w:tc>
        <w:tcPr>
          <w:tcW w:w="2269" w:type="dxa"/>
          <w:vMerge w:val="restart"/>
          <w:vAlign w:val="center"/>
        </w:tcPr>
        <w:p w14:paraId="31ACF03A" w14:textId="4056706B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3402" w:type="dxa"/>
          <w:vMerge w:val="restart"/>
          <w:vAlign w:val="center"/>
        </w:tcPr>
        <w:p w14:paraId="52889CCA" w14:textId="1F227AC5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5DF3C24E" w14:textId="612E9EB6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No</w:t>
          </w:r>
        </w:p>
      </w:tc>
      <w:tc>
        <w:tcPr>
          <w:tcW w:w="1984" w:type="dxa"/>
        </w:tcPr>
        <w:p w14:paraId="6B720AC4" w14:textId="7BD2FDFA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-</w:t>
          </w:r>
        </w:p>
      </w:tc>
    </w:tr>
    <w:tr w:rsidR="00AD1D15" w:rsidRPr="00284C08" w14:paraId="6EA6CC54" w14:textId="77777777" w:rsidTr="006B6CEF">
      <w:trPr>
        <w:trHeight w:val="242"/>
      </w:trPr>
      <w:tc>
        <w:tcPr>
          <w:tcW w:w="2269" w:type="dxa"/>
          <w:vMerge/>
          <w:tcBorders>
            <w:bottom w:val="single" w:sz="4" w:space="0" w:color="auto"/>
          </w:tcBorders>
        </w:tcPr>
        <w:p w14:paraId="576A5DB9" w14:textId="77777777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  <w:vAlign w:val="center"/>
        </w:tcPr>
        <w:p w14:paraId="269A6989" w14:textId="77777777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0CCF72C2" w14:textId="7F1DF5DD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Sayfa Adedi</w:t>
          </w:r>
        </w:p>
      </w:tc>
      <w:tc>
        <w:tcPr>
          <w:tcW w:w="1984" w:type="dxa"/>
        </w:tcPr>
        <w:p w14:paraId="0D72229E" w14:textId="3A4DBA33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  <w:b/>
            </w:rPr>
          </w:pPr>
          <w:r w:rsidRPr="00634166">
            <w:rPr>
              <w:b/>
            </w:rPr>
            <w:t>1/4</w:t>
          </w:r>
        </w:p>
      </w:tc>
    </w:tr>
  </w:tbl>
  <w:p w14:paraId="3D0C3DD1" w14:textId="77777777" w:rsid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  <w:p w14:paraId="06A6359C" w14:textId="0B296953" w:rsidR="00ED4F27" w:rsidRP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(Form No: FR : 166</w:t>
    </w:r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; Revizyon Tarihi</w:t>
    </w:r>
    <w:proofErr w:type="gramStart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:……</w:t>
    </w:r>
    <w:proofErr w:type="gramEnd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Revizyon</w:t>
    </w:r>
    <w:proofErr w:type="gramStart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:…..</w:t>
    </w:r>
    <w:proofErr w:type="gramEnd"/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>)</w:t>
    </w:r>
  </w:p>
  <w:p w14:paraId="58F50020" w14:textId="465D451C" w:rsidR="000413E3" w:rsidRPr="006B6CEF" w:rsidRDefault="006B6CEF" w:rsidP="006B6CEF">
    <w:pPr>
      <w:pStyle w:val="AltBilgi"/>
      <w:tabs>
        <w:tab w:val="clear" w:pos="4536"/>
        <w:tab w:val="clear" w:pos="9072"/>
        <w:tab w:val="left" w:pos="1815"/>
      </w:tabs>
      <w:rPr>
        <w:sz w:val="16"/>
        <w:szCs w:val="16"/>
      </w:rPr>
    </w:pPr>
    <w:r w:rsidRPr="006B6CEF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4048" w14:textId="77777777" w:rsidR="00634166" w:rsidRDefault="006341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873ED" w14:textId="77777777" w:rsidR="00EB1F50" w:rsidRDefault="00EB1F50" w:rsidP="005F4369">
      <w:r>
        <w:separator/>
      </w:r>
    </w:p>
  </w:footnote>
  <w:footnote w:type="continuationSeparator" w:id="0">
    <w:p w14:paraId="45661088" w14:textId="77777777" w:rsidR="00EB1F50" w:rsidRDefault="00EB1F50" w:rsidP="005F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CD82" w14:textId="77777777" w:rsidR="00634166" w:rsidRDefault="006341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6B6CEF" w:rsidRPr="005A6FFE" w14:paraId="39A18BFD" w14:textId="77777777" w:rsidTr="002F2F66">
      <w:trPr>
        <w:trHeight w:val="1399"/>
      </w:trPr>
      <w:tc>
        <w:tcPr>
          <w:tcW w:w="1560" w:type="dxa"/>
          <w:shd w:val="clear" w:color="auto" w:fill="auto"/>
          <w:vAlign w:val="center"/>
        </w:tcPr>
        <w:p w14:paraId="2647EC32" w14:textId="77777777" w:rsidR="006B6CEF" w:rsidRPr="005A6FFE" w:rsidRDefault="006B6CEF" w:rsidP="006B6CEF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05843DE2" wp14:editId="3D46B9D4">
                <wp:extent cx="828675" cy="838200"/>
                <wp:effectExtent l="0" t="0" r="9525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59F6DAD0" w14:textId="77777777" w:rsidR="00714F4D" w:rsidRDefault="00626532" w:rsidP="00626532">
          <w:pPr>
            <w:jc w:val="center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</w:rPr>
            <w:t xml:space="preserve">KIRŞEHİR AHİ EVRAN ÜNİVERSİTESİ </w:t>
          </w:r>
        </w:p>
        <w:p w14:paraId="2E050C46" w14:textId="7D27707B" w:rsidR="006B6CEF" w:rsidRPr="001455D7" w:rsidRDefault="00D30899" w:rsidP="00D30899">
          <w:pPr>
            <w:jc w:val="center"/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</w:pPr>
          <w:r w:rsidRPr="00D30899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>VARLIK YÖNETİMİ PROSEDÜRÜ</w:t>
          </w:r>
        </w:p>
      </w:tc>
      <w:tc>
        <w:tcPr>
          <w:tcW w:w="1984" w:type="dxa"/>
          <w:shd w:val="clear" w:color="auto" w:fill="auto"/>
          <w:vAlign w:val="center"/>
        </w:tcPr>
        <w:p w14:paraId="12B4B572" w14:textId="77777777" w:rsidR="006B6CEF" w:rsidRPr="005A6FFE" w:rsidRDefault="006B6CEF" w:rsidP="006B6CEF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5D53D2BB" wp14:editId="73C82C2B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8998EC" w14:textId="77777777" w:rsidR="005F4369" w:rsidRDefault="005F43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7BCE" w14:textId="77777777" w:rsidR="00634166" w:rsidRDefault="006341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519E2"/>
    <w:multiLevelType w:val="multilevel"/>
    <w:tmpl w:val="360A8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B6097C"/>
    <w:multiLevelType w:val="multilevel"/>
    <w:tmpl w:val="1D407E6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92716"/>
    <w:multiLevelType w:val="multilevel"/>
    <w:tmpl w:val="642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E75B8"/>
    <w:multiLevelType w:val="multilevel"/>
    <w:tmpl w:val="AAF2A700"/>
    <w:lvl w:ilvl="0">
      <w:start w:val="5"/>
      <w:numFmt w:val="decimal"/>
      <w:lvlText w:val="%1."/>
      <w:lvlJc w:val="left"/>
      <w:pPr>
        <w:ind w:left="26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06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656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12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9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5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38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94" w:hanging="420"/>
      </w:pPr>
      <w:rPr>
        <w:rFonts w:hint="default"/>
        <w:lang w:val="tr-TR" w:eastAsia="en-US" w:bidi="ar-SA"/>
      </w:rPr>
    </w:lvl>
  </w:abstractNum>
  <w:abstractNum w:abstractNumId="5" w15:restartNumberingAfterBreak="0">
    <w:nsid w:val="2D6B0FE2"/>
    <w:multiLevelType w:val="multilevel"/>
    <w:tmpl w:val="1452D97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."/>
      <w:lvlJc w:val="left"/>
      <w:pPr>
        <w:ind w:left="2407" w:hanging="7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0806B32"/>
    <w:multiLevelType w:val="multilevel"/>
    <w:tmpl w:val="70748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696532"/>
    <w:multiLevelType w:val="multilevel"/>
    <w:tmpl w:val="08CE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DB6952"/>
    <w:multiLevelType w:val="hybridMultilevel"/>
    <w:tmpl w:val="476C7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7A05"/>
    <w:multiLevelType w:val="hybridMultilevel"/>
    <w:tmpl w:val="C3FADF12"/>
    <w:lvl w:ilvl="0" w:tplc="D72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120C"/>
    <w:multiLevelType w:val="hybridMultilevel"/>
    <w:tmpl w:val="F6B2A05C"/>
    <w:lvl w:ilvl="0" w:tplc="DCFC4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C0F92"/>
    <w:multiLevelType w:val="multilevel"/>
    <w:tmpl w:val="F23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F90C7F"/>
    <w:multiLevelType w:val="multilevel"/>
    <w:tmpl w:val="0A466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060D56"/>
    <w:multiLevelType w:val="multilevel"/>
    <w:tmpl w:val="8C0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DC9"/>
    <w:multiLevelType w:val="hybridMultilevel"/>
    <w:tmpl w:val="BBE0F6D0"/>
    <w:lvl w:ilvl="0" w:tplc="A642BCF2">
      <w:start w:val="6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0E46E1CA">
      <w:start w:val="1"/>
      <w:numFmt w:val="bullet"/>
      <w:lvlText w:val=""/>
      <w:lvlJc w:val="left"/>
      <w:pPr>
        <w:ind w:left="823" w:hanging="361"/>
      </w:pPr>
      <w:rPr>
        <w:rFonts w:ascii="Symbol" w:hAnsi="Symbol" w:hint="default"/>
        <w:w w:val="100"/>
        <w:sz w:val="24"/>
        <w:szCs w:val="24"/>
        <w:lang w:val="tr-TR" w:eastAsia="en-US" w:bidi="ar-SA"/>
      </w:rPr>
    </w:lvl>
    <w:lvl w:ilvl="2" w:tplc="514C5402">
      <w:numFmt w:val="bullet"/>
      <w:lvlText w:val="•"/>
      <w:lvlJc w:val="left"/>
      <w:pPr>
        <w:ind w:left="1941" w:hanging="361"/>
      </w:pPr>
      <w:rPr>
        <w:rFonts w:hint="default"/>
        <w:lang w:val="tr-TR" w:eastAsia="en-US" w:bidi="ar-SA"/>
      </w:rPr>
    </w:lvl>
    <w:lvl w:ilvl="3" w:tplc="2E64034C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4" w:tplc="C91CF2D4">
      <w:numFmt w:val="bullet"/>
      <w:lvlText w:val="•"/>
      <w:lvlJc w:val="left"/>
      <w:pPr>
        <w:ind w:left="4183" w:hanging="361"/>
      </w:pPr>
      <w:rPr>
        <w:rFonts w:hint="default"/>
        <w:lang w:val="tr-TR" w:eastAsia="en-US" w:bidi="ar-SA"/>
      </w:rPr>
    </w:lvl>
    <w:lvl w:ilvl="5" w:tplc="712047BC">
      <w:numFmt w:val="bullet"/>
      <w:lvlText w:val="•"/>
      <w:lvlJc w:val="left"/>
      <w:pPr>
        <w:ind w:left="5304" w:hanging="361"/>
      </w:pPr>
      <w:rPr>
        <w:rFonts w:hint="default"/>
        <w:lang w:val="tr-TR" w:eastAsia="en-US" w:bidi="ar-SA"/>
      </w:rPr>
    </w:lvl>
    <w:lvl w:ilvl="6" w:tplc="71FADEEA">
      <w:numFmt w:val="bullet"/>
      <w:lvlText w:val="•"/>
      <w:lvlJc w:val="left"/>
      <w:pPr>
        <w:ind w:left="6426" w:hanging="361"/>
      </w:pPr>
      <w:rPr>
        <w:rFonts w:hint="default"/>
        <w:lang w:val="tr-TR" w:eastAsia="en-US" w:bidi="ar-SA"/>
      </w:rPr>
    </w:lvl>
    <w:lvl w:ilvl="7" w:tplc="694ABD46">
      <w:numFmt w:val="bullet"/>
      <w:lvlText w:val="•"/>
      <w:lvlJc w:val="left"/>
      <w:pPr>
        <w:ind w:left="7547" w:hanging="361"/>
      </w:pPr>
      <w:rPr>
        <w:rFonts w:hint="default"/>
        <w:lang w:val="tr-TR" w:eastAsia="en-US" w:bidi="ar-SA"/>
      </w:rPr>
    </w:lvl>
    <w:lvl w:ilvl="8" w:tplc="D72AE442">
      <w:numFmt w:val="bullet"/>
      <w:lvlText w:val="•"/>
      <w:lvlJc w:val="left"/>
      <w:pPr>
        <w:ind w:left="8668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53B16AF9"/>
    <w:multiLevelType w:val="hybridMultilevel"/>
    <w:tmpl w:val="35543A78"/>
    <w:lvl w:ilvl="0" w:tplc="0E46E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62F9"/>
    <w:multiLevelType w:val="hybridMultilevel"/>
    <w:tmpl w:val="4DC6F670"/>
    <w:lvl w:ilvl="0" w:tplc="D4EE2B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C3548"/>
    <w:multiLevelType w:val="multilevel"/>
    <w:tmpl w:val="AE5E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BC6A59"/>
    <w:multiLevelType w:val="hybridMultilevel"/>
    <w:tmpl w:val="401A9F0A"/>
    <w:lvl w:ilvl="0" w:tplc="0E46E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6D20F6"/>
    <w:multiLevelType w:val="hybridMultilevel"/>
    <w:tmpl w:val="DD849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69"/>
    <w:rsid w:val="000252E4"/>
    <w:rsid w:val="00030BF4"/>
    <w:rsid w:val="00037739"/>
    <w:rsid w:val="000413E3"/>
    <w:rsid w:val="00043A14"/>
    <w:rsid w:val="00072295"/>
    <w:rsid w:val="00073478"/>
    <w:rsid w:val="00083156"/>
    <w:rsid w:val="000C3F8A"/>
    <w:rsid w:val="00122EA5"/>
    <w:rsid w:val="00176AF2"/>
    <w:rsid w:val="001A151A"/>
    <w:rsid w:val="001A4494"/>
    <w:rsid w:val="001B293E"/>
    <w:rsid w:val="001B2FAB"/>
    <w:rsid w:val="001E48A4"/>
    <w:rsid w:val="00202B48"/>
    <w:rsid w:val="00224E0D"/>
    <w:rsid w:val="00284C08"/>
    <w:rsid w:val="002B4763"/>
    <w:rsid w:val="002E578C"/>
    <w:rsid w:val="00323696"/>
    <w:rsid w:val="00365E79"/>
    <w:rsid w:val="003735C8"/>
    <w:rsid w:val="00384385"/>
    <w:rsid w:val="003A0A3B"/>
    <w:rsid w:val="003C2722"/>
    <w:rsid w:val="003D688E"/>
    <w:rsid w:val="0040441F"/>
    <w:rsid w:val="00422387"/>
    <w:rsid w:val="004A132C"/>
    <w:rsid w:val="004C4A5A"/>
    <w:rsid w:val="00507759"/>
    <w:rsid w:val="00525F8D"/>
    <w:rsid w:val="005437F2"/>
    <w:rsid w:val="005841E4"/>
    <w:rsid w:val="005A4169"/>
    <w:rsid w:val="005D4876"/>
    <w:rsid w:val="005F4369"/>
    <w:rsid w:val="00626532"/>
    <w:rsid w:val="00634166"/>
    <w:rsid w:val="00692B7D"/>
    <w:rsid w:val="006B0BC2"/>
    <w:rsid w:val="006B1DCF"/>
    <w:rsid w:val="006B6CEF"/>
    <w:rsid w:val="006F63CF"/>
    <w:rsid w:val="00714F4D"/>
    <w:rsid w:val="007653B3"/>
    <w:rsid w:val="007672AF"/>
    <w:rsid w:val="00782148"/>
    <w:rsid w:val="007D51F2"/>
    <w:rsid w:val="00854F3B"/>
    <w:rsid w:val="00882E09"/>
    <w:rsid w:val="008A6802"/>
    <w:rsid w:val="008A7090"/>
    <w:rsid w:val="008B1F8D"/>
    <w:rsid w:val="008C0B38"/>
    <w:rsid w:val="008F1AD5"/>
    <w:rsid w:val="0090558D"/>
    <w:rsid w:val="00927CF6"/>
    <w:rsid w:val="009A58D6"/>
    <w:rsid w:val="009C15FC"/>
    <w:rsid w:val="009E3791"/>
    <w:rsid w:val="009E4CC7"/>
    <w:rsid w:val="00A81A84"/>
    <w:rsid w:val="00AD1D15"/>
    <w:rsid w:val="00AD5A71"/>
    <w:rsid w:val="00B91F54"/>
    <w:rsid w:val="00B976BC"/>
    <w:rsid w:val="00BA70F6"/>
    <w:rsid w:val="00BC3369"/>
    <w:rsid w:val="00BD0705"/>
    <w:rsid w:val="00C55196"/>
    <w:rsid w:val="00C77AA6"/>
    <w:rsid w:val="00CB7382"/>
    <w:rsid w:val="00D062D8"/>
    <w:rsid w:val="00D30899"/>
    <w:rsid w:val="00D570DB"/>
    <w:rsid w:val="00D92DAB"/>
    <w:rsid w:val="00DB2DD6"/>
    <w:rsid w:val="00DB5869"/>
    <w:rsid w:val="00DE1138"/>
    <w:rsid w:val="00E0108E"/>
    <w:rsid w:val="00E56059"/>
    <w:rsid w:val="00E77171"/>
    <w:rsid w:val="00E8113D"/>
    <w:rsid w:val="00EB1F50"/>
    <w:rsid w:val="00EB2D58"/>
    <w:rsid w:val="00ED4F27"/>
    <w:rsid w:val="00EE3DD7"/>
    <w:rsid w:val="00F14C32"/>
    <w:rsid w:val="00F22FD8"/>
    <w:rsid w:val="00F4455F"/>
    <w:rsid w:val="00F93F5E"/>
    <w:rsid w:val="00FA6158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A6D5A"/>
  <w15:docId w15:val="{56952B75-8F12-4CC1-8EDC-3DF12465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7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C55196"/>
    <w:pPr>
      <w:widowControl w:val="0"/>
      <w:autoSpaceDE w:val="0"/>
      <w:autoSpaceDN w:val="0"/>
      <w:spacing w:before="12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12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outlineLvl w:val="2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jc w:val="both"/>
      <w:outlineLvl w:val="3"/>
    </w:pPr>
    <w:rPr>
      <w:rFonts w:ascii="Times New Roman" w:eastAsiaTheme="majorEastAsia" w:hAnsi="Times New Roman" w:cstheme="majorBidi"/>
      <w:b/>
      <w:iCs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436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4369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5F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4C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F14C32"/>
    <w:pPr>
      <w:widowControl w:val="0"/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14C3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551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5519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55196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55196"/>
    <w:rPr>
      <w:rFonts w:ascii="Times New Roman" w:eastAsiaTheme="majorEastAsia" w:hAnsi="Times New Roman" w:cstheme="majorBidi"/>
      <w:b/>
      <w:iCs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40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6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2B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B48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F078D0F71DE4740BE1DC8F0E7287C34" ma:contentTypeVersion="11" ma:contentTypeDescription="Yeni belge oluşturun." ma:contentTypeScope="" ma:versionID="5619c6ead2208f182335d1380a059814">
  <xsd:schema xmlns:xsd="http://www.w3.org/2001/XMLSchema" xmlns:xs="http://www.w3.org/2001/XMLSchema" xmlns:p="http://schemas.microsoft.com/office/2006/metadata/properties" xmlns:ns3="b9d2d217-4c7c-407b-b02b-88f3c3c42905" xmlns:ns4="59deaf09-04c5-4a53-8fb3-a4e9fb81c91c" targetNamespace="http://schemas.microsoft.com/office/2006/metadata/properties" ma:root="true" ma:fieldsID="0b414a825173aeb7c4474ece5fe5577e" ns3:_="" ns4:_="">
    <xsd:import namespace="b9d2d217-4c7c-407b-b02b-88f3c3c42905"/>
    <xsd:import namespace="59deaf09-04c5-4a53-8fb3-a4e9fb81c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2d217-4c7c-407b-b02b-88f3c3c42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af09-04c5-4a53-8fb3-a4e9fb81c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42D8-DD09-422F-91FF-FC3670A07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2d217-4c7c-407b-b02b-88f3c3c42905"/>
    <ds:schemaRef ds:uri="59deaf09-04c5-4a53-8fb3-a4e9fb81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3692E-C2B1-44D5-A6A9-A04CEA3D1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992A1-0F5D-4CFD-A302-9FEB8E6A9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DB6D4C-720F-4D2D-8EB5-13160933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Şimşek</dc:creator>
  <cp:lastModifiedBy>EROL AKGÜL</cp:lastModifiedBy>
  <cp:revision>2</cp:revision>
  <dcterms:created xsi:type="dcterms:W3CDTF">2023-09-25T08:32:00Z</dcterms:created>
  <dcterms:modified xsi:type="dcterms:W3CDTF">2023-09-25T08:32:00Z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0x010100EF078D0F71DE4740BE1DC8F0E7287C34</vt:lpwstr>
  </property>
</Properties>
</file>